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F6E" w:rsidRPr="008B6F6E" w:rsidRDefault="008B6F6E" w:rsidP="008B6F6E">
      <w:pPr>
        <w:rPr>
          <w:b/>
          <w:bCs/>
        </w:rPr>
      </w:pPr>
      <w:r w:rsidRPr="008B6F6E">
        <w:rPr>
          <w:b/>
          <w:bCs/>
        </w:rPr>
        <w:t>Bilanci</w:t>
      </w:r>
    </w:p>
    <w:p w:rsidR="008B6F6E" w:rsidRPr="008B6F6E" w:rsidRDefault="008B6F6E" w:rsidP="008B6F6E">
      <w:r w:rsidRPr="008B6F6E">
        <w:t>L’accesso ai documenti amministrativi è assicurato, per presa visione o per estrazione di copia, a chiunque vi abbia interesse legittimo e può essere esercitato da parte dei diretti interessati mediante istanza scritta rivolta all’ufficio.</w:t>
      </w:r>
    </w:p>
    <w:p w:rsidR="008B6F6E" w:rsidRPr="008B6F6E" w:rsidRDefault="008B6F6E" w:rsidP="008B6F6E">
      <w:r w:rsidRPr="008B6F6E">
        <w:t>La richiesta scritta di accesso ai documenti amministrativi deve contenere:</w:t>
      </w:r>
    </w:p>
    <w:p w:rsidR="008B6F6E" w:rsidRPr="008B6F6E" w:rsidRDefault="008B6F6E" w:rsidP="008B6F6E">
      <w:pPr>
        <w:numPr>
          <w:ilvl w:val="0"/>
          <w:numId w:val="1"/>
        </w:numPr>
      </w:pPr>
      <w:r w:rsidRPr="008B6F6E">
        <w:t>espressa ed esauriente indicazione della motivazione che deve riguardare un interesse concreto, diretto, attuale e giuridicamente rilevante facente capo al richiedente e collegato al documento per il quale è richiesto l’accesso;</w:t>
      </w:r>
    </w:p>
    <w:p w:rsidR="008B6F6E" w:rsidRPr="008B6F6E" w:rsidRDefault="008B6F6E" w:rsidP="008B6F6E">
      <w:pPr>
        <w:numPr>
          <w:ilvl w:val="0"/>
          <w:numId w:val="1"/>
        </w:numPr>
      </w:pPr>
      <w:r w:rsidRPr="008B6F6E">
        <w:t>la descrizione del documento e ogni dato utile al fine di permetterne l’individuazione.</w:t>
      </w:r>
    </w:p>
    <w:p w:rsidR="008B6F6E" w:rsidRPr="008B6F6E" w:rsidRDefault="008B6F6E" w:rsidP="008B6F6E">
      <w:r w:rsidRPr="008B6F6E">
        <w:t>L’ATC valuta le eventuali richieste di accesso agli atti avanzate in forma scritta e non potrà accogliere, in alcun modo, istanze di accesso a documenti amministrativi dell’A.T.C. finalizzate ad un controllo generalizzato.</w:t>
      </w:r>
    </w:p>
    <w:p w:rsidR="008B6F6E" w:rsidRPr="008B6F6E" w:rsidRDefault="008B6F6E" w:rsidP="008B6F6E">
      <w:r w:rsidRPr="008B6F6E">
        <w:t>Bilanci ATC:</w:t>
      </w:r>
    </w:p>
    <w:p w:rsidR="008B6F6E" w:rsidRPr="008B6F6E" w:rsidRDefault="008B6F6E" w:rsidP="008B6F6E">
      <w:pPr>
        <w:numPr>
          <w:ilvl w:val="0"/>
          <w:numId w:val="2"/>
        </w:numPr>
      </w:pPr>
      <w:hyperlink r:id="rId6" w:history="1">
        <w:r w:rsidRPr="008B6F6E">
          <w:rPr>
            <w:rStyle w:val="Collegamentoipertestuale"/>
          </w:rPr>
          <w:t>Bilancio di previsione 2015_16</w:t>
        </w:r>
      </w:hyperlink>
    </w:p>
    <w:p w:rsidR="008B6F6E" w:rsidRPr="008B6F6E" w:rsidRDefault="008B6F6E" w:rsidP="008B6F6E">
      <w:pPr>
        <w:numPr>
          <w:ilvl w:val="0"/>
          <w:numId w:val="2"/>
        </w:numPr>
      </w:pPr>
      <w:hyperlink r:id="rId7" w:history="1">
        <w:r w:rsidRPr="008B6F6E">
          <w:rPr>
            <w:rStyle w:val="Collegamentoipertestuale"/>
          </w:rPr>
          <w:t>Bilancio Consuntivo 2014_15</w:t>
        </w:r>
      </w:hyperlink>
    </w:p>
    <w:p w:rsidR="008B6F6E" w:rsidRPr="008B6F6E" w:rsidRDefault="008B6F6E" w:rsidP="008B6F6E">
      <w:pPr>
        <w:numPr>
          <w:ilvl w:val="0"/>
          <w:numId w:val="2"/>
        </w:numPr>
      </w:pPr>
      <w:hyperlink r:id="rId8" w:history="1">
        <w:r w:rsidRPr="008B6F6E">
          <w:rPr>
            <w:rStyle w:val="Collegamentoipertestuale"/>
          </w:rPr>
          <w:t>Consuntivo_ATCFR1_2013_14</w:t>
        </w:r>
      </w:hyperlink>
    </w:p>
    <w:p w:rsidR="008B6F6E" w:rsidRPr="008B6F6E" w:rsidRDefault="008B6F6E" w:rsidP="008B6F6E">
      <w:pPr>
        <w:numPr>
          <w:ilvl w:val="0"/>
          <w:numId w:val="2"/>
        </w:numPr>
      </w:pPr>
      <w:hyperlink r:id="rId9" w:history="1">
        <w:r w:rsidRPr="008B6F6E">
          <w:rPr>
            <w:rStyle w:val="Collegamentoipertestuale"/>
          </w:rPr>
          <w:t>atcfr1_previsionale 2014_15</w:t>
        </w:r>
      </w:hyperlink>
    </w:p>
    <w:p w:rsidR="008B6F6E" w:rsidRPr="008B6F6E" w:rsidRDefault="008B6F6E" w:rsidP="008B6F6E">
      <w:pPr>
        <w:numPr>
          <w:ilvl w:val="0"/>
          <w:numId w:val="2"/>
        </w:numPr>
      </w:pPr>
      <w:hyperlink r:id="rId10" w:history="1">
        <w:r w:rsidRPr="008B6F6E">
          <w:rPr>
            <w:rStyle w:val="Collegamentoipertestuale"/>
          </w:rPr>
          <w:t>ATC_FR1_CONSUNTIVO_2012-2013</w:t>
        </w:r>
      </w:hyperlink>
    </w:p>
    <w:p w:rsidR="008B6F6E" w:rsidRPr="008B6F6E" w:rsidRDefault="008B6F6E" w:rsidP="008B6F6E">
      <w:pPr>
        <w:numPr>
          <w:ilvl w:val="0"/>
          <w:numId w:val="2"/>
        </w:numPr>
      </w:pPr>
      <w:hyperlink r:id="rId11" w:history="1">
        <w:r w:rsidRPr="008B6F6E">
          <w:rPr>
            <w:rStyle w:val="Collegamentoipertestuale"/>
          </w:rPr>
          <w:t>ATC_FR1_previsionale 2013_14</w:t>
        </w:r>
      </w:hyperlink>
    </w:p>
    <w:p w:rsidR="00EF1E58" w:rsidRDefault="00EF1E58">
      <w:bookmarkStart w:id="0" w:name="_GoBack"/>
      <w:bookmarkEnd w:id="0"/>
    </w:p>
    <w:sectPr w:rsidR="00EF1E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43D1E"/>
    <w:multiLevelType w:val="multilevel"/>
    <w:tmpl w:val="C1D6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F12592E"/>
    <w:multiLevelType w:val="multilevel"/>
    <w:tmpl w:val="2298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F6E"/>
    <w:rsid w:val="008B6F6E"/>
    <w:rsid w:val="00EF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B6F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B6F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1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cfr1.eu/new/wp-content/uploads/2014/12/Consuntivo_ATCFR1_2013_14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atcfr1.eu/new/wp-content/uploads/2016/01/Bilancio-Consuntivo-2014_15_atcfr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tcfr1.eu/new/wp-content/uploads/2016/01/Bilancio-di-previsione-15_16_atcfr1.pdf" TargetMode="External"/><Relationship Id="rId11" Type="http://schemas.openxmlformats.org/officeDocument/2006/relationships/hyperlink" Target="http://www.atcfr1.eu/new/wp-content/uploads/2014/05/ATC_FR1_previsionale-2013_14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tcfr1.eu/new/wp-content/uploads/2014/05/ATC_FR1_CONSUNTIVO_2012-201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tcfr1.eu/new/wp-content/uploads/2014/12/atcfr1_previsionale-2014_15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Workstation</dc:creator>
  <cp:lastModifiedBy>Workstation</cp:lastModifiedBy>
  <cp:revision>1</cp:revision>
  <dcterms:created xsi:type="dcterms:W3CDTF">2019-01-15T20:41:00Z</dcterms:created>
  <dcterms:modified xsi:type="dcterms:W3CDTF">2019-01-15T20:42:00Z</dcterms:modified>
</cp:coreProperties>
</file>